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A" w:rsidRDefault="00026D9E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 w:cs="ºÚÌå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ºÚÌå" w:hint="eastAsia"/>
          <w:color w:val="000000"/>
          <w:sz w:val="30"/>
          <w:szCs w:val="30"/>
        </w:rPr>
        <w:t>1</w:t>
      </w:r>
    </w:p>
    <w:p w:rsidR="007102D7" w:rsidRDefault="007102D7">
      <w:pPr>
        <w:widowControl w:val="0"/>
        <w:autoSpaceDE w:val="0"/>
        <w:autoSpaceDN w:val="0"/>
        <w:snapToGrid/>
        <w:spacing w:after="0" w:line="700" w:lineRule="exact"/>
        <w:jc w:val="center"/>
        <w:rPr>
          <w:rFonts w:ascii="方正小标宋简体" w:eastAsia="方正小标宋简体" w:hAnsi="Calibri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color w:val="000000"/>
          <w:sz w:val="44"/>
          <w:szCs w:val="44"/>
        </w:rPr>
        <w:t>郑东新区</w:t>
      </w:r>
      <w:r w:rsidR="00026D9E">
        <w:rPr>
          <w:rFonts w:ascii="方正小标宋简体" w:eastAsia="方正小标宋简体" w:hAnsi="Calibri" w:cs="方正小标宋简体" w:hint="eastAsia"/>
          <w:color w:val="000000"/>
          <w:sz w:val="44"/>
          <w:szCs w:val="44"/>
        </w:rPr>
        <w:t>教育</w:t>
      </w:r>
      <w:r>
        <w:rPr>
          <w:rFonts w:ascii="方正小标宋简体" w:eastAsia="方正小标宋简体" w:hAnsi="Calibri" w:cs="方正小标宋简体" w:hint="eastAsia"/>
          <w:color w:val="000000"/>
          <w:sz w:val="44"/>
          <w:szCs w:val="44"/>
        </w:rPr>
        <w:t>系统</w:t>
      </w:r>
    </w:p>
    <w:p w:rsidR="000C2BAA" w:rsidRDefault="00026D9E">
      <w:pPr>
        <w:widowControl w:val="0"/>
        <w:autoSpaceDE w:val="0"/>
        <w:autoSpaceDN w:val="0"/>
        <w:snapToGrid/>
        <w:spacing w:after="0" w:line="700" w:lineRule="exact"/>
        <w:jc w:val="center"/>
        <w:rPr>
          <w:rFonts w:ascii="方正小标宋简体" w:eastAsia="方正小标宋简体" w:hAnsi="Calibri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Calibri" w:cs="方正小标宋简体" w:hint="eastAsia"/>
          <w:color w:val="000000"/>
          <w:sz w:val="44"/>
          <w:szCs w:val="44"/>
        </w:rPr>
        <w:t>集中整治虚拟货币“挖矿”活动工作方案</w:t>
      </w:r>
    </w:p>
    <w:p w:rsidR="000C2BAA" w:rsidRDefault="000C2BAA">
      <w:pPr>
        <w:widowControl w:val="0"/>
        <w:autoSpaceDE w:val="0"/>
        <w:autoSpaceDN w:val="0"/>
        <w:snapToGrid/>
        <w:spacing w:after="0" w:line="560" w:lineRule="exact"/>
        <w:rPr>
          <w:rFonts w:ascii="仿宋_GB2312" w:eastAsia="仿宋_GB2312" w:hAnsi="Calibri" w:cs="仿宋"/>
          <w:color w:val="000000"/>
          <w:sz w:val="32"/>
          <w:szCs w:val="32"/>
        </w:rPr>
      </w:pP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为贯彻国家关于整治虚拟货币“挖矿”（以下简称“挖矿”）活动要求精神，落实省委省政府、市委市政府相关安排部署，有效防范处置“挖矿”活动带来的风险隐患，形成常态化的整治处置机制，特制定本方案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一、总体要求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（一）指导思想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以习近平新时代特色社会主义思想为指导，全面贯彻党的十九大和历次全会精神，深入贯彻习近平生态文明思想和关于教育工作重要论述精神，坚定不移贯彻新发展理念。按照“严密监测、严防风险、严禁增量、压减总量”的总体思路，充分发挥各级教育管理部门和各级各类学校合力，加强全</w:t>
      </w:r>
      <w:r w:rsidR="007102D7">
        <w:rPr>
          <w:rFonts w:ascii="仿宋_GB2312" w:eastAsia="仿宋_GB2312" w:hAnsi="Calibri" w:cs="仿宋" w:hint="eastAsia"/>
          <w:color w:val="000000"/>
          <w:sz w:val="32"/>
          <w:szCs w:val="32"/>
        </w:rPr>
        <w:t>区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教育系统“挖矿”活动监管，杜绝使用公共资源“挖矿”行为，助力碳达峰碳中和目标如期实现。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150" w:firstLine="48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（二）基本原则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坚持统筹兼顾。将专项整治活动与提升常态化网络安全管理能力相结合，在开展“挖矿”活动全面排查整治的同时，突出公共信息资产管理和防护，打好整治“挖矿”活动攻坚战、持久战，巩固整治成效。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lastRenderedPageBreak/>
        <w:t>坚持分类处置。从严从重查处主动参与“挖矿”活动，形成整治高压态势；提高防护木马病毒和防御网络攻击能力，加强网络安全宣传教育，减少被动型“挖矿”活动。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坚持依法依规。要充分运用法治思维和法制方式，严格执行有关法律法规和规章制度；要严格按照国家有关部门文件要求，加强教育引导，防范化解矛盾纠纷，及时回应社会关切，确保社会大局稳定。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二、工作目标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全</w:t>
      </w:r>
      <w:r w:rsidR="007102D7">
        <w:rPr>
          <w:rFonts w:ascii="仿宋_GB2312" w:eastAsia="仿宋_GB2312" w:hAnsi="Calibri" w:cs="仿宋" w:hint="eastAsia"/>
          <w:color w:val="000000"/>
          <w:sz w:val="32"/>
          <w:szCs w:val="32"/>
        </w:rPr>
        <w:t>区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各级各类学校利用公共资源主动参与“挖矿”现象全面杜绝，因木马病毒或网络攻击导致的被动型“挖矿”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IP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动态清零，形成“挖矿”活动常态化监测和治理机制，高质量完成</w:t>
      </w:r>
      <w:r w:rsidR="007102D7">
        <w:rPr>
          <w:rFonts w:ascii="仿宋_GB2312" w:eastAsia="仿宋_GB2312" w:hAnsi="Calibri" w:cs="仿宋" w:hint="eastAsia"/>
          <w:color w:val="000000"/>
          <w:sz w:val="32"/>
          <w:szCs w:val="32"/>
        </w:rPr>
        <w:t>党工委、管委会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和</w:t>
      </w:r>
      <w:r w:rsidR="007102D7">
        <w:rPr>
          <w:rFonts w:ascii="仿宋_GB2312" w:eastAsia="仿宋_GB2312" w:hAnsi="Calibri" w:cs="仿宋" w:hint="eastAsia"/>
          <w:color w:val="000000"/>
          <w:sz w:val="32"/>
          <w:szCs w:val="32"/>
        </w:rPr>
        <w:t>市教育局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部署任务。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三、重点任务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（一）制定工作方案</w:t>
      </w:r>
    </w:p>
    <w:p w:rsidR="000C2BAA" w:rsidRDefault="007102D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各单位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按照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郑东新区教文体局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整治“挖矿”活动工作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方案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要求，制定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本单位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工作方案、细化整治措施。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（二）全面摸排统计</w:t>
      </w:r>
    </w:p>
    <w:p w:rsidR="000C2BAA" w:rsidRDefault="007102D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各单位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结合前期摸排情况，对有较高计算能力的服务器、</w:t>
      </w:r>
      <w:r w:rsidR="00026D9E">
        <w:rPr>
          <w:rFonts w:ascii="仿宋_GB2312" w:eastAsia="仿宋_GB2312" w:hAnsi="·ÂËÎ" w:cs="·ÂËÎ" w:hint="eastAsia"/>
          <w:color w:val="000000"/>
          <w:sz w:val="32"/>
          <w:szCs w:val="32"/>
        </w:rPr>
        <w:t>GPU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工作站等高性能计算设备在内的信息资产进行再梳理，统计信息资产部署位置、管理部门、责任人、网络标识等信息，完善单位信息资产台账。统计互联网线路出口信息，明确本单位负责管理的</w:t>
      </w:r>
      <w:r w:rsidR="00026D9E">
        <w:rPr>
          <w:rFonts w:ascii="仿宋_GB2312" w:eastAsia="仿宋_GB2312" w:hAnsi="·ÂËÎ" w:cs="·ÂËÎ" w:hint="eastAsia"/>
          <w:color w:val="000000"/>
          <w:sz w:val="32"/>
          <w:szCs w:val="32"/>
        </w:rPr>
        <w:t>IP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地址段，加强互联网线路使用（租用）管理。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lastRenderedPageBreak/>
        <w:t>（三）提升防护能力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1.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开展自查整改。对本单位的机房、高性能计算设备及个人办公设备组织开展全面自查，消除安全隐患。接到涉及“挖矿”相关通报后，要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48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小时内完成排查、锁定设备及责任人，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72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小时内形成书面报告，报上级教育主管部门。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2.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加固网络出口。在网络出口边界部署安全设备，制定安全规则，及时更新特征库，检测识别阻止恶意请求行为，及时封禁恶意域名和地址。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3.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监测网络流量。收集分析网络流量日志，加大“挖矿”行为监测力度，利用威胁情报进行分析，确定恶意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IP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及域名，拒绝恶意域名的解析。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4.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强化终端管理。严格落实终端入网实名认证，安装防病毒软件，定期查杀病毒，阻止恶意程序横向传播。对连续出现“挖矿”行为的终端，停止互联网接入。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5.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提高溯源能力。综合分析安全日志、上网认证日志、交换机日志等网络痕迹信息，预警、查找风险主机并及时处置。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6.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积极推进软件正版化工作，从源头上杜绝“挖矿”病毒传播。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（四）加强安全教育</w:t>
      </w:r>
    </w:p>
    <w:p w:rsidR="000C2BAA" w:rsidRDefault="007102D7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各单位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要把“挖矿”活动整治成效做为检验能力作风提升的重要内容，通过多种形式，深入开展“挖矿”活动危害性的宣传教育，提升全体工作人员和师生的防范意识和能力。全体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lastRenderedPageBreak/>
        <w:t>工作人员、信息资产运维人员以及发生过“挖矿”行为的其他人员要</w:t>
      </w:r>
      <w:r w:rsidR="00377690">
        <w:rPr>
          <w:rFonts w:ascii="仿宋_GB2312" w:eastAsia="仿宋_GB2312" w:hAnsi="Calibri" w:cs="仿宋" w:hint="eastAsia"/>
          <w:color w:val="000000"/>
          <w:sz w:val="32"/>
          <w:szCs w:val="32"/>
        </w:rPr>
        <w:t>与学校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签订《坚决抵制虚拟货币“挖矿”活动承诺书》，强化安全责任意识。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以学校为单位签订一份《坚决抵制虚拟货币“挖矿”活动承诺书》</w:t>
      </w:r>
      <w:r w:rsidR="00377690">
        <w:rPr>
          <w:rFonts w:ascii="仿宋_GB2312" w:eastAsia="仿宋_GB2312" w:hAnsi="Calibri" w:cs="仿宋" w:hint="eastAsia"/>
          <w:color w:val="000000"/>
          <w:sz w:val="32"/>
          <w:szCs w:val="32"/>
        </w:rPr>
        <w:t>，并将盖章扫描件于4月27日下午下班前发送至zdxqjwtjbgs@126.com。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四、实施步骤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（一）部署动员</w:t>
      </w:r>
    </w:p>
    <w:p w:rsidR="000C2BAA" w:rsidRDefault="00377690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各单位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召开专题会议，对本单位“挖矿”整治工作开展动员部署，明确整治工作的目标、内容和标准，细化措施、压实责任。组织人员签订《坚决抵制虚拟货币“挖矿”活动承诺书》。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（二）集中攻坚整治</w:t>
      </w:r>
    </w:p>
    <w:p w:rsidR="000C2BAA" w:rsidRDefault="00377690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FF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各单位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开展集中整治，抓好任务落实，确保本单位内主动挖矿全面杜绝，被动“挖矿”</w:t>
      </w:r>
      <w:r w:rsidR="00026D9E">
        <w:rPr>
          <w:rFonts w:ascii="仿宋_GB2312" w:eastAsia="仿宋_GB2312" w:hAnsi="·ÂËÎ" w:cs="·ÂËÎ" w:hint="eastAsia"/>
          <w:color w:val="000000"/>
          <w:sz w:val="32"/>
          <w:szCs w:val="32"/>
        </w:rPr>
        <w:t>IP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坚决消减</w:t>
      </w:r>
      <w:r w:rsidR="00026D9E">
        <w:rPr>
          <w:rFonts w:ascii="仿宋_GB2312" w:eastAsia="仿宋_GB2312" w:hAnsi="Calibri" w:cs="仿宋" w:hint="eastAsia"/>
          <w:color w:val="0000FF"/>
          <w:sz w:val="32"/>
          <w:szCs w:val="32"/>
        </w:rPr>
        <w:t>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（三）常态化防控</w:t>
      </w:r>
    </w:p>
    <w:p w:rsidR="000C2BAA" w:rsidRDefault="00377690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各学校对</w:t>
      </w:r>
      <w:r w:rsidR="00026D9E">
        <w:rPr>
          <w:rFonts w:ascii="仿宋_GB2312" w:eastAsia="仿宋_GB2312" w:hAnsi="Calibri" w:cs="仿宋" w:hint="eastAsia"/>
          <w:color w:val="000000"/>
          <w:sz w:val="32"/>
          <w:szCs w:val="32"/>
        </w:rPr>
        <w:t>本单位“挖矿”活动整治工作坚决做到再巩固、再加强、再深入，针对集中整治工作中发现的问题短板，进一步完善各项规章制度，建立健全长效工作机制，巩固扩大整治成果，严防“挖矿”活动反弹。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五、保障措施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（一）压实责任。</w:t>
      </w:r>
      <w:r w:rsidR="00377690">
        <w:rPr>
          <w:rFonts w:ascii="仿宋_GB2312" w:eastAsia="仿宋_GB2312" w:hAnsi="Calibri" w:cs="仿宋" w:hint="eastAsia"/>
          <w:color w:val="000000"/>
          <w:sz w:val="32"/>
          <w:szCs w:val="32"/>
        </w:rPr>
        <w:t>各单位要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摸清资产底数，细化工作台账，形成责任清单，明确责任边界，确保落实到岗、落实到人，形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lastRenderedPageBreak/>
        <w:t>成“纵向到底、横向到边”的监管体系。专项整治期间，要每周至少研判一次“挖矿”活动发展态势，对照工作措施进展及成效，总结经验、分析问题，及时调整政策措施，确保“挖矿”活动整治工作巩固提升。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（二）做好保障。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各</w:t>
      </w:r>
      <w:r w:rsidR="00377690">
        <w:rPr>
          <w:rFonts w:ascii="仿宋_GB2312" w:eastAsia="仿宋_GB2312" w:hAnsi="Calibri" w:cs="仿宋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要加紧处置专项整治期间发现的设备配置不足、技术能力不强等问题，补充配置必要的软硬件设备，组织应急处置队伍</w:t>
      </w:r>
      <w:r w:rsidR="00377690">
        <w:rPr>
          <w:rFonts w:ascii="仿宋_GB2312" w:eastAsia="仿宋_GB2312" w:hAnsi="Calibri" w:cs="仿宋" w:hint="eastAsia"/>
          <w:color w:val="000000"/>
          <w:sz w:val="32"/>
          <w:szCs w:val="32"/>
        </w:rPr>
        <w:t>。</w:t>
      </w:r>
    </w:p>
    <w:p w:rsidR="000C2BAA" w:rsidRDefault="00026D9E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_GB2312" w:eastAsia="仿宋_GB2312" w:hAnsi="Calibri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（三）加强协同。</w:t>
      </w:r>
      <w:r w:rsidR="00377690">
        <w:rPr>
          <w:rFonts w:ascii="仿宋_GB2312" w:eastAsia="仿宋_GB2312" w:hAnsi="Calibri" w:cs="仿宋" w:hint="eastAsia"/>
          <w:color w:val="000000"/>
          <w:sz w:val="32"/>
          <w:szCs w:val="32"/>
        </w:rPr>
        <w:t>郑东新区教文体局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将定期发布“挖矿”活动预警信息，通报涉及“挖矿”活动的域名和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 xml:space="preserve">IP 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地址；各学校</w:t>
      </w:r>
      <w:r w:rsidR="00F43299">
        <w:rPr>
          <w:rFonts w:ascii="仿宋_GB2312" w:eastAsia="仿宋_GB2312" w:hAnsi="Calibri" w:cs="仿宋" w:hint="eastAsia"/>
          <w:color w:val="000000"/>
          <w:sz w:val="32"/>
          <w:szCs w:val="32"/>
        </w:rPr>
        <w:t>要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及时上报发现的“矿池”域名和</w:t>
      </w:r>
      <w:r>
        <w:rPr>
          <w:rFonts w:ascii="仿宋_GB2312" w:eastAsia="仿宋_GB2312" w:hAnsi="·ÂËÎ" w:cs="·ÂËÎ" w:hint="eastAsia"/>
          <w:color w:val="000000"/>
          <w:sz w:val="32"/>
          <w:szCs w:val="32"/>
        </w:rPr>
        <w:t>IP</w:t>
      </w:r>
      <w:r>
        <w:rPr>
          <w:rFonts w:ascii="仿宋_GB2312" w:eastAsia="仿宋_GB2312" w:hAnsi="Calibri" w:cs="仿宋" w:hint="eastAsia"/>
          <w:color w:val="000000"/>
          <w:sz w:val="32"/>
          <w:szCs w:val="32"/>
        </w:rPr>
        <w:t>地址等信息。</w:t>
      </w: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377690" w:rsidRDefault="00377690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/>
          <w:sz w:val="30"/>
          <w:szCs w:val="30"/>
        </w:rPr>
      </w:pPr>
    </w:p>
    <w:p w:rsidR="000C2BAA" w:rsidRDefault="000C2BAA" w:rsidP="00377690">
      <w:pPr>
        <w:widowControl w:val="0"/>
        <w:autoSpaceDE w:val="0"/>
        <w:autoSpaceDN w:val="0"/>
        <w:snapToGrid/>
        <w:spacing w:after="0" w:line="560" w:lineRule="exact"/>
        <w:ind w:firstLineChars="1350" w:firstLine="4320"/>
        <w:rPr>
          <w:rFonts w:ascii="仿宋_GB2312" w:eastAsia="仿宋_GB2312" w:hAnsi="Calibri" w:cs="仿宋"/>
          <w:color w:val="000000"/>
          <w:sz w:val="32"/>
          <w:szCs w:val="32"/>
        </w:rPr>
      </w:pPr>
    </w:p>
    <w:sectPr w:rsidR="000C2BAA" w:rsidSect="000C2BAA">
      <w:pgSz w:w="11906" w:h="16838"/>
      <w:pgMar w:top="2098" w:right="1588" w:bottom="2098" w:left="1588" w:header="709" w:footer="153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9B" w:rsidRDefault="0019719B" w:rsidP="007102D7">
      <w:pPr>
        <w:spacing w:after="0"/>
      </w:pPr>
      <w:r>
        <w:separator/>
      </w:r>
    </w:p>
  </w:endnote>
  <w:endnote w:type="continuationSeparator" w:id="1">
    <w:p w:rsidR="0019719B" w:rsidRDefault="0019719B" w:rsidP="007102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Arial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">
    <w:altName w:val="Arial"/>
    <w:charset w:val="00"/>
    <w:family w:val="auto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9B" w:rsidRDefault="0019719B" w:rsidP="007102D7">
      <w:pPr>
        <w:spacing w:after="0"/>
      </w:pPr>
      <w:r>
        <w:separator/>
      </w:r>
    </w:p>
  </w:footnote>
  <w:footnote w:type="continuationSeparator" w:id="1">
    <w:p w:rsidR="0019719B" w:rsidRDefault="0019719B" w:rsidP="007102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0C2BAA"/>
    <w:rsid w:val="00026D9E"/>
    <w:rsid w:val="000C2BAA"/>
    <w:rsid w:val="0019719B"/>
    <w:rsid w:val="00377690"/>
    <w:rsid w:val="007102D7"/>
    <w:rsid w:val="0097248F"/>
    <w:rsid w:val="00F4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A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2BA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2B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2BA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2B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</dc:title>
  <dc:creator>Administrator</dc:creator>
  <cp:lastModifiedBy>Administrator</cp:lastModifiedBy>
  <cp:revision>3</cp:revision>
  <cp:lastPrinted>2022-03-31T01:39:00Z</cp:lastPrinted>
  <dcterms:created xsi:type="dcterms:W3CDTF">2022-04-25T02:01:00Z</dcterms:created>
  <dcterms:modified xsi:type="dcterms:W3CDTF">2022-04-25T07:52:00Z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